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52" w:rsidRPr="002A4F66" w:rsidRDefault="002706B8" w:rsidP="002A4F66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The </w:t>
      </w:r>
      <w:r w:rsidR="002A4F66"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>new insights on introducing and designing</w:t>
      </w:r>
      <w:r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novel </w:t>
      </w:r>
      <w:proofErr w:type="gramStart"/>
      <w:r w:rsidR="007D397D">
        <w:rPr>
          <w:rFonts w:asciiTheme="majorBidi" w:hAnsiTheme="majorBidi" w:cstheme="majorBidi"/>
          <w:b/>
          <w:bCs/>
          <w:sz w:val="28"/>
          <w:szCs w:val="28"/>
          <w:lang w:bidi="fa-IR"/>
        </w:rPr>
        <w:t>R</w:t>
      </w:r>
      <w:r w:rsidR="002A4F66"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>hodium(</w:t>
      </w:r>
      <w:proofErr w:type="gramEnd"/>
      <w:r w:rsidR="002A4F66"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>III) derivatives as the anti</w:t>
      </w:r>
      <w:r w:rsidR="00D07179">
        <w:rPr>
          <w:rFonts w:asciiTheme="majorBidi" w:hAnsiTheme="majorBidi" w:cstheme="majorBidi"/>
          <w:b/>
          <w:bCs/>
          <w:sz w:val="28"/>
          <w:szCs w:val="28"/>
          <w:lang w:bidi="fa-IR"/>
        </w:rPr>
        <w:t>cancer agents: protein binding assessment and molecular d</w:t>
      </w:r>
      <w:r w:rsidR="002A4F66" w:rsidRPr="002A4F66">
        <w:rPr>
          <w:rFonts w:asciiTheme="majorBidi" w:hAnsiTheme="majorBidi" w:cstheme="majorBidi"/>
          <w:b/>
          <w:bCs/>
          <w:sz w:val="28"/>
          <w:szCs w:val="28"/>
          <w:lang w:bidi="fa-IR"/>
        </w:rPr>
        <w:t>ocking</w:t>
      </w:r>
      <w:r w:rsidR="00D07179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simulation analysis</w:t>
      </w:r>
    </w:p>
    <w:p w:rsidR="002A4F66" w:rsidRDefault="002A4F66" w:rsidP="002A4F66">
      <w:pPr>
        <w:rPr>
          <w:rFonts w:asciiTheme="majorBidi" w:hAnsiTheme="majorBidi" w:cstheme="majorBidi"/>
          <w:i/>
          <w:iCs/>
          <w:u w:val="single"/>
          <w:lang w:bidi="fa-IR"/>
        </w:rPr>
      </w:pPr>
    </w:p>
    <w:p w:rsidR="009F200F" w:rsidRPr="00D07179" w:rsidRDefault="002A4F66" w:rsidP="007D397D">
      <w:pPr>
        <w:rPr>
          <w:rFonts w:asciiTheme="majorBidi" w:hAnsiTheme="majorBidi" w:cstheme="majorBidi"/>
          <w:i/>
          <w:iCs/>
          <w:lang w:bidi="fa-IR"/>
        </w:rPr>
      </w:pPr>
      <w:proofErr w:type="spellStart"/>
      <w:r w:rsidRPr="002A4F66">
        <w:rPr>
          <w:rFonts w:asciiTheme="majorBidi" w:hAnsiTheme="majorBidi" w:cstheme="majorBidi"/>
          <w:i/>
          <w:iCs/>
          <w:u w:val="single"/>
          <w:lang w:bidi="fa-IR"/>
        </w:rPr>
        <w:t>Zeinab</w:t>
      </w:r>
      <w:proofErr w:type="spellEnd"/>
      <w:r w:rsidRPr="002A4F66">
        <w:rPr>
          <w:rFonts w:asciiTheme="majorBidi" w:hAnsiTheme="majorBidi" w:cstheme="majorBidi"/>
          <w:i/>
          <w:iCs/>
          <w:u w:val="single"/>
          <w:lang w:bidi="fa-IR"/>
        </w:rPr>
        <w:t xml:space="preserve"> Mandegani</w:t>
      </w:r>
      <w:r w:rsidRPr="002A4F66">
        <w:rPr>
          <w:rFonts w:asciiTheme="majorBidi" w:hAnsiTheme="majorBidi" w:cstheme="majorBidi"/>
          <w:i/>
          <w:iCs/>
          <w:u w:val="single"/>
          <w:vertAlign w:val="superscript"/>
          <w:lang w:bidi="fa-IR"/>
        </w:rPr>
        <w:t>1</w:t>
      </w:r>
      <w:r w:rsidRPr="002A4F66">
        <w:rPr>
          <w:rFonts w:asciiTheme="majorBidi" w:hAnsiTheme="majorBidi" w:cstheme="majorBidi"/>
          <w:i/>
          <w:iCs/>
          <w:lang w:bidi="fa-IR"/>
        </w:rPr>
        <w:t>;</w:t>
      </w:r>
      <w:r w:rsidR="007D397D">
        <w:rPr>
          <w:rFonts w:asciiTheme="majorBidi" w:hAnsiTheme="majorBidi" w:cstheme="majorBidi"/>
          <w:i/>
          <w:iCs/>
          <w:lang w:bidi="fa-IR"/>
        </w:rPr>
        <w:t xml:space="preserve"> </w:t>
      </w:r>
      <w:proofErr w:type="spellStart"/>
      <w:r w:rsidR="007D397D" w:rsidRPr="007D397D">
        <w:rPr>
          <w:rFonts w:asciiTheme="majorBidi" w:hAnsiTheme="majorBidi" w:cstheme="majorBidi"/>
          <w:i/>
          <w:iCs/>
          <w:lang w:bidi="fa-IR"/>
        </w:rPr>
        <w:t>Asma</w:t>
      </w:r>
      <w:proofErr w:type="spellEnd"/>
      <w:r w:rsidR="007D397D" w:rsidRPr="007D397D">
        <w:rPr>
          <w:rFonts w:asciiTheme="majorBidi" w:hAnsiTheme="majorBidi" w:cstheme="majorBidi"/>
          <w:i/>
          <w:iCs/>
          <w:lang w:bidi="fa-IR"/>
        </w:rPr>
        <w:t xml:space="preserve"> Nahaei</w:t>
      </w:r>
      <w:r w:rsidR="007D397D" w:rsidRPr="007D397D">
        <w:rPr>
          <w:rFonts w:asciiTheme="majorBidi" w:hAnsiTheme="majorBidi" w:cstheme="majorBidi"/>
          <w:i/>
          <w:iCs/>
          <w:vertAlign w:val="superscript"/>
          <w:lang w:bidi="fa-IR"/>
        </w:rPr>
        <w:t>1</w:t>
      </w:r>
      <w:r w:rsidR="007D397D" w:rsidRPr="007D397D">
        <w:rPr>
          <w:rFonts w:asciiTheme="majorBidi" w:hAnsiTheme="majorBidi" w:cstheme="majorBidi"/>
          <w:i/>
          <w:iCs/>
          <w:lang w:bidi="fa-IR"/>
        </w:rPr>
        <w:t xml:space="preserve">; Masood </w:t>
      </w:r>
      <w:proofErr w:type="spellStart"/>
      <w:r w:rsidR="007D397D" w:rsidRPr="007D397D">
        <w:rPr>
          <w:rFonts w:asciiTheme="majorBidi" w:hAnsiTheme="majorBidi" w:cstheme="majorBidi"/>
          <w:i/>
          <w:iCs/>
          <w:lang w:bidi="fa-IR"/>
        </w:rPr>
        <w:t>Fereidoon</w:t>
      </w:r>
      <w:proofErr w:type="spellEnd"/>
      <w:r w:rsidR="007D397D" w:rsidRPr="007D397D">
        <w:rPr>
          <w:rFonts w:asciiTheme="majorBidi" w:hAnsiTheme="majorBidi" w:cstheme="majorBidi"/>
          <w:i/>
          <w:iCs/>
          <w:lang w:bidi="fa-IR"/>
        </w:rPr>
        <w:t xml:space="preserve"> </w:t>
      </w:r>
      <w:proofErr w:type="gramStart"/>
      <w:r w:rsidR="007D397D" w:rsidRPr="007D397D">
        <w:rPr>
          <w:rFonts w:asciiTheme="majorBidi" w:hAnsiTheme="majorBidi" w:cstheme="majorBidi"/>
          <w:i/>
          <w:iCs/>
          <w:lang w:bidi="fa-IR"/>
        </w:rPr>
        <w:t>Nezhad</w:t>
      </w:r>
      <w:r w:rsidR="007D397D" w:rsidRPr="007D397D">
        <w:rPr>
          <w:rFonts w:asciiTheme="majorBidi" w:hAnsiTheme="majorBidi" w:cstheme="majorBidi"/>
          <w:i/>
          <w:iCs/>
          <w:vertAlign w:val="superscript"/>
          <w:lang w:bidi="fa-IR"/>
        </w:rPr>
        <w:t>2</w:t>
      </w:r>
      <w:r w:rsidRPr="002A4F66">
        <w:rPr>
          <w:rFonts w:asciiTheme="majorBidi" w:hAnsiTheme="majorBidi" w:cstheme="majorBidi"/>
          <w:i/>
          <w:iCs/>
          <w:lang w:bidi="fa-IR"/>
        </w:rPr>
        <w:t xml:space="preserve"> </w:t>
      </w:r>
      <w:r w:rsidR="007D397D">
        <w:rPr>
          <w:rFonts w:asciiTheme="majorBidi" w:hAnsiTheme="majorBidi" w:cstheme="majorBidi"/>
          <w:i/>
          <w:iCs/>
          <w:lang w:bidi="fa-IR"/>
        </w:rPr>
        <w:t>;</w:t>
      </w:r>
      <w:proofErr w:type="gramEnd"/>
      <w:r w:rsidR="00C173A7">
        <w:rPr>
          <w:rFonts w:asciiTheme="majorBidi" w:hAnsiTheme="majorBidi" w:cstheme="majorBidi"/>
          <w:i/>
          <w:iCs/>
          <w:lang w:bidi="fa-IR"/>
        </w:rPr>
        <w:t xml:space="preserve"> </w:t>
      </w:r>
      <w:proofErr w:type="spellStart"/>
      <w:r w:rsidR="00D07179">
        <w:rPr>
          <w:rFonts w:asciiTheme="majorBidi" w:hAnsiTheme="majorBidi" w:cstheme="majorBidi"/>
          <w:i/>
          <w:iCs/>
          <w:lang w:bidi="fa-IR"/>
        </w:rPr>
        <w:t>S.</w:t>
      </w:r>
      <w:r w:rsidRPr="002A4F66">
        <w:rPr>
          <w:rFonts w:asciiTheme="majorBidi" w:hAnsiTheme="majorBidi" w:cstheme="majorBidi"/>
          <w:i/>
          <w:iCs/>
          <w:lang w:bidi="fa-IR"/>
        </w:rPr>
        <w:t>Masoud</w:t>
      </w:r>
      <w:proofErr w:type="spellEnd"/>
      <w:r w:rsidRPr="002A4F66">
        <w:rPr>
          <w:rFonts w:asciiTheme="majorBidi" w:hAnsiTheme="majorBidi" w:cstheme="majorBidi"/>
          <w:i/>
          <w:iCs/>
          <w:lang w:bidi="fa-IR"/>
        </w:rPr>
        <w:t xml:space="preserve"> Nabavizadeh</w:t>
      </w:r>
      <w:r w:rsidRPr="002A4F66">
        <w:rPr>
          <w:rFonts w:asciiTheme="majorBidi" w:hAnsiTheme="majorBidi" w:cstheme="majorBidi"/>
          <w:i/>
          <w:iCs/>
          <w:vertAlign w:val="superscript"/>
          <w:lang w:bidi="fa-IR"/>
        </w:rPr>
        <w:t>1</w:t>
      </w:r>
    </w:p>
    <w:p w:rsidR="002A4F66" w:rsidRDefault="00EB64FF" w:rsidP="002A4F66">
      <w:pPr>
        <w:rPr>
          <w:rFonts w:asciiTheme="majorBidi" w:hAnsiTheme="majorBidi" w:cstheme="majorBidi"/>
          <w:lang w:bidi="fa-IR"/>
        </w:rPr>
      </w:pPr>
      <w:r w:rsidRPr="00EB64FF">
        <w:rPr>
          <w:rFonts w:asciiTheme="majorBidi" w:hAnsiTheme="majorBidi" w:cstheme="majorBidi"/>
          <w:vertAlign w:val="superscript"/>
          <w:lang w:bidi="fa-IR"/>
        </w:rPr>
        <w:t>1</w:t>
      </w:r>
      <w:r w:rsidR="002A4F66" w:rsidRPr="002A4F66">
        <w:rPr>
          <w:rFonts w:asciiTheme="majorBidi" w:hAnsiTheme="majorBidi" w:cstheme="majorBidi"/>
          <w:lang w:bidi="fa-IR"/>
        </w:rPr>
        <w:t xml:space="preserve">Department of </w:t>
      </w:r>
      <w:r w:rsidR="002A4F66">
        <w:rPr>
          <w:rFonts w:asciiTheme="majorBidi" w:hAnsiTheme="majorBidi" w:cstheme="majorBidi"/>
          <w:lang w:bidi="fa-IR"/>
        </w:rPr>
        <w:t>C</w:t>
      </w:r>
      <w:r w:rsidR="002A4F66" w:rsidRPr="002A4F66">
        <w:rPr>
          <w:rFonts w:asciiTheme="majorBidi" w:hAnsiTheme="majorBidi" w:cstheme="majorBidi"/>
          <w:lang w:bidi="fa-IR"/>
        </w:rPr>
        <w:t xml:space="preserve">hemistry, Faculty of </w:t>
      </w:r>
      <w:r w:rsidR="002A4F66">
        <w:rPr>
          <w:rFonts w:asciiTheme="majorBidi" w:hAnsiTheme="majorBidi" w:cstheme="majorBidi"/>
          <w:lang w:bidi="fa-IR"/>
        </w:rPr>
        <w:t>S</w:t>
      </w:r>
      <w:r w:rsidR="002A4F66" w:rsidRPr="002A4F66">
        <w:rPr>
          <w:rFonts w:asciiTheme="majorBidi" w:hAnsiTheme="majorBidi" w:cstheme="majorBidi"/>
          <w:lang w:bidi="fa-IR"/>
        </w:rPr>
        <w:t>ciences, Shiraz University, Shiraz, Iran</w:t>
      </w:r>
    </w:p>
    <w:p w:rsidR="00EB64FF" w:rsidRPr="002A4F66" w:rsidRDefault="00EB64FF" w:rsidP="00EB64FF">
      <w:pPr>
        <w:rPr>
          <w:rFonts w:asciiTheme="majorBidi" w:hAnsiTheme="majorBidi" w:cstheme="majorBidi"/>
          <w:rtl/>
          <w:lang w:bidi="fa-IR"/>
        </w:rPr>
      </w:pPr>
      <w:r w:rsidRPr="00EB64FF">
        <w:rPr>
          <w:rFonts w:asciiTheme="majorBidi" w:hAnsiTheme="majorBidi" w:cstheme="majorBidi"/>
          <w:vertAlign w:val="superscript"/>
          <w:lang w:bidi="fa-IR"/>
        </w:rPr>
        <w:t>2</w:t>
      </w:r>
      <w:r w:rsidRPr="00EB64FF">
        <w:rPr>
          <w:rFonts w:asciiTheme="majorBidi" w:hAnsiTheme="majorBidi" w:cstheme="majorBidi"/>
          <w:lang w:bidi="fa-IR"/>
        </w:rPr>
        <w:t>Department of Medicinal Chemistry, School of Pharmacy</w:t>
      </w:r>
      <w:r>
        <w:rPr>
          <w:rFonts w:asciiTheme="majorBidi" w:hAnsiTheme="majorBidi" w:cstheme="majorBidi"/>
          <w:lang w:bidi="fa-IR"/>
        </w:rPr>
        <w:t xml:space="preserve">, </w:t>
      </w:r>
      <w:r w:rsidRPr="00EB64FF">
        <w:rPr>
          <w:rFonts w:asciiTheme="majorBidi" w:hAnsiTheme="majorBidi" w:cstheme="majorBidi"/>
          <w:lang w:bidi="fa-IR"/>
        </w:rPr>
        <w:t>Toxicology Research Center</w:t>
      </w:r>
      <w:r>
        <w:rPr>
          <w:rFonts w:asciiTheme="majorBidi" w:hAnsiTheme="majorBidi" w:cstheme="majorBidi"/>
          <w:lang w:bidi="fa-IR"/>
        </w:rPr>
        <w:t xml:space="preserve">, </w:t>
      </w:r>
      <w:r w:rsidRPr="00EB64FF">
        <w:rPr>
          <w:rFonts w:asciiTheme="majorBidi" w:hAnsiTheme="majorBidi" w:cstheme="majorBidi"/>
          <w:lang w:bidi="fa-IR"/>
        </w:rPr>
        <w:t xml:space="preserve">Ahvaz </w:t>
      </w:r>
      <w:proofErr w:type="spellStart"/>
      <w:r w:rsidRPr="00EB64FF">
        <w:rPr>
          <w:rFonts w:asciiTheme="majorBidi" w:hAnsiTheme="majorBidi" w:cstheme="majorBidi"/>
          <w:lang w:bidi="fa-IR"/>
        </w:rPr>
        <w:t>Jundishapur</w:t>
      </w:r>
      <w:proofErr w:type="spellEnd"/>
      <w:r w:rsidRPr="00EB64FF">
        <w:rPr>
          <w:rFonts w:asciiTheme="majorBidi" w:hAnsiTheme="majorBidi" w:cstheme="majorBidi"/>
          <w:lang w:bidi="fa-IR"/>
        </w:rPr>
        <w:t xml:space="preserve"> University of Medical sciences</w:t>
      </w:r>
    </w:p>
    <w:p w:rsidR="00165700" w:rsidRPr="00E17443" w:rsidRDefault="00E17443" w:rsidP="00E1744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206352" w:rsidRPr="00E17443">
        <w:rPr>
          <w:rFonts w:ascii="Times New Roman" w:hAnsi="Times New Roman" w:cs="Times New Roman"/>
          <w:sz w:val="24"/>
          <w:szCs w:val="24"/>
        </w:rPr>
        <w:t>is-platin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 and related compounds which are being used in cancer chemotherapy have drawn special attention. Despite their remarkable versatility, platinum drug resistance to tumor represents a significant limiting factor and a continuing challenge.</w:t>
      </w:r>
      <w:r w:rsidR="00C32354" w:rsidRPr="00E1744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206352" w:rsidRPr="00E17443">
        <w:rPr>
          <w:rFonts w:ascii="Times New Roman" w:hAnsi="Times New Roman" w:cs="Times New Roman"/>
          <w:sz w:val="24"/>
          <w:szCs w:val="24"/>
        </w:rPr>
        <w:t xml:space="preserve">Consequently, the discovery of novel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metallodrugs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 with distinct structural and mechanistic profiles for drug development plays an important role in cancer drug research. Concomitantly with platinum based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metallodrugs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, substantial efforts have been dedicated to develop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 xml:space="preserve"> and Rh </w:t>
      </w:r>
      <w:proofErr w:type="spellStart"/>
      <w:r w:rsidR="00206352" w:rsidRPr="00E17443">
        <w:rPr>
          <w:rFonts w:ascii="Times New Roman" w:hAnsi="Times New Roman" w:cs="Times New Roman"/>
          <w:sz w:val="24"/>
          <w:szCs w:val="24"/>
        </w:rPr>
        <w:t>organometallodrugs</w:t>
      </w:r>
      <w:proofErr w:type="spellEnd"/>
      <w:r w:rsidR="00206352" w:rsidRPr="00E174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F30" w:rsidRPr="00E17443">
        <w:rPr>
          <w:rFonts w:ascii="Times New Roman" w:eastAsia="Calibri" w:hAnsi="Times New Roman" w:cs="Times New Roman"/>
          <w:sz w:val="24"/>
          <w:szCs w:val="24"/>
        </w:rPr>
        <w:t xml:space="preserve">Considering above factors, a series of </w:t>
      </w:r>
      <w:proofErr w:type="spellStart"/>
      <w:r w:rsidR="00245F30" w:rsidRPr="00E17443">
        <w:rPr>
          <w:rFonts w:ascii="Times New Roman" w:eastAsia="Calibri" w:hAnsi="Times New Roman" w:cs="Times New Roman"/>
          <w:sz w:val="24"/>
          <w:szCs w:val="24"/>
        </w:rPr>
        <w:t>benzimidazole</w:t>
      </w:r>
      <w:proofErr w:type="spellEnd"/>
      <w:r w:rsidR="00245F30" w:rsidRPr="00E17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45F30" w:rsidRPr="00E17443">
        <w:rPr>
          <w:rFonts w:ascii="Times New Roman" w:eastAsia="Calibri" w:hAnsi="Times New Roman" w:cs="Times New Roman"/>
          <w:sz w:val="24"/>
          <w:szCs w:val="24"/>
        </w:rPr>
        <w:t>cyclometalated</w:t>
      </w:r>
      <w:proofErr w:type="spellEnd"/>
      <w:r w:rsidR="00245F30" w:rsidRPr="00E17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45F30" w:rsidRPr="00E17443">
        <w:rPr>
          <w:rFonts w:ascii="Times New Roman" w:eastAsia="Calibri" w:hAnsi="Times New Roman" w:cs="Times New Roman"/>
          <w:sz w:val="24"/>
          <w:szCs w:val="24"/>
        </w:rPr>
        <w:t>Rh(</w:t>
      </w:r>
      <w:proofErr w:type="gramEnd"/>
      <w:r w:rsidR="00245F30" w:rsidRPr="00E17443">
        <w:rPr>
          <w:rFonts w:ascii="Times New Roman" w:eastAsia="Calibri" w:hAnsi="Times New Roman" w:cs="Times New Roman"/>
          <w:sz w:val="24"/>
          <w:szCs w:val="24"/>
        </w:rPr>
        <w:t>III) complexes exhibiting good anticancer activity against</w:t>
      </w:r>
      <w:r w:rsidR="00FC6098" w:rsidRPr="00E17443">
        <w:rPr>
          <w:rFonts w:ascii="Times New Roman" w:eastAsia="Calibri" w:hAnsi="Times New Roman" w:cs="Times New Roman"/>
          <w:sz w:val="24"/>
          <w:szCs w:val="24"/>
        </w:rPr>
        <w:t xml:space="preserve"> MCF-7, SKOV3, and A549 human cell line</w:t>
      </w:r>
      <w:r w:rsidR="00C32354" w:rsidRPr="00E17443">
        <w:rPr>
          <w:rFonts w:ascii="Times New Roman" w:eastAsia="Calibri" w:hAnsi="Times New Roman" w:cs="Times New Roman"/>
          <w:sz w:val="24"/>
          <w:szCs w:val="24"/>
        </w:rPr>
        <w:t xml:space="preserve"> have been successfully synthetized</w:t>
      </w:r>
      <w:r w:rsidR="00FC6098" w:rsidRPr="00E1744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45F30" w:rsidRPr="00E17443">
        <w:rPr>
          <w:rFonts w:ascii="Times New Roman" w:eastAsia="Calibri" w:hAnsi="Times New Roman" w:cs="Times New Roman"/>
          <w:sz w:val="24"/>
          <w:szCs w:val="24"/>
        </w:rPr>
        <w:t>Representative complexes show</w:t>
      </w:r>
      <w:r w:rsidR="00FC6098" w:rsidRPr="00E17443">
        <w:rPr>
          <w:rFonts w:ascii="Times New Roman" w:eastAsia="Calibri" w:hAnsi="Times New Roman" w:cs="Times New Roman"/>
          <w:sz w:val="24"/>
          <w:szCs w:val="24"/>
        </w:rPr>
        <w:t>ed static quenching mode on bovine serum albumin (BSA) fluorophore with binding constant ranges from1.35 × 10</w:t>
      </w:r>
      <w:r w:rsidR="00FC6098" w:rsidRPr="00E17443">
        <w:rPr>
          <w:rFonts w:ascii="Times New Roman" w:eastAsia="Calibri" w:hAnsi="Times New Roman" w:cs="Times New Roman"/>
          <w:sz w:val="24"/>
          <w:szCs w:val="24"/>
          <w:vertAlign w:val="superscript"/>
        </w:rPr>
        <w:t>4</w:t>
      </w:r>
      <w:r w:rsidR="00FC6098" w:rsidRPr="00E17443">
        <w:rPr>
          <w:rFonts w:ascii="Times New Roman" w:eastAsia="Calibri" w:hAnsi="Times New Roman" w:cs="Times New Roman"/>
          <w:sz w:val="24"/>
          <w:szCs w:val="24"/>
        </w:rPr>
        <w:t xml:space="preserve"> to 7.91 × 10</w:t>
      </w:r>
      <w:r w:rsidR="00FC6098" w:rsidRPr="00E17443">
        <w:rPr>
          <w:rFonts w:ascii="Times New Roman" w:eastAsia="Calibri" w:hAnsi="Times New Roman" w:cs="Times New Roman"/>
          <w:sz w:val="24"/>
          <w:szCs w:val="24"/>
          <w:vertAlign w:val="superscript"/>
        </w:rPr>
        <w:t>5</w:t>
      </w:r>
      <w:r w:rsidRPr="00E1744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E17443">
        <w:rPr>
          <w:rFonts w:ascii="Times New Roman" w:eastAsia="Calibri" w:hAnsi="Times New Roman" w:cs="Times New Roman"/>
          <w:sz w:val="24"/>
          <w:szCs w:val="24"/>
        </w:rPr>
        <w:t>to form 1:1 complexes</w:t>
      </w:r>
      <w:r w:rsidR="00FC6098" w:rsidRPr="00E1744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17443">
        <w:rPr>
          <w:rFonts w:ascii="Times New Roman" w:eastAsia="Calibri" w:hAnsi="Times New Roman" w:cs="Times New Roman"/>
          <w:sz w:val="24"/>
          <w:szCs w:val="24"/>
        </w:rPr>
        <w:t>Site specific binding</w:t>
      </w:r>
      <w:r w:rsidR="00165700" w:rsidRPr="00E17443">
        <w:rPr>
          <w:rFonts w:ascii="Times New Roman" w:eastAsia="Calibri" w:hAnsi="Times New Roman" w:cs="Times New Roman"/>
          <w:sz w:val="24"/>
          <w:szCs w:val="24"/>
        </w:rPr>
        <w:t xml:space="preserve"> of the co</w:t>
      </w:r>
      <w:bookmarkStart w:id="0" w:name="_GoBack"/>
      <w:bookmarkEnd w:id="0"/>
      <w:r w:rsidR="00165700" w:rsidRPr="00E17443">
        <w:rPr>
          <w:rFonts w:ascii="Times New Roman" w:eastAsia="Calibri" w:hAnsi="Times New Roman" w:cs="Times New Roman"/>
          <w:sz w:val="24"/>
          <w:szCs w:val="24"/>
        </w:rPr>
        <w:t xml:space="preserve">mplexes with </w:t>
      </w:r>
      <w:r w:rsidR="00C32354" w:rsidRPr="00E17443">
        <w:rPr>
          <w:rFonts w:ascii="Times New Roman" w:eastAsia="Calibri" w:hAnsi="Times New Roman" w:cs="Times New Roman"/>
          <w:sz w:val="24"/>
          <w:szCs w:val="24"/>
        </w:rPr>
        <w:t>protein has also been supported by molecular docking.</w:t>
      </w:r>
      <w:r w:rsidR="00165700" w:rsidRPr="00E17443">
        <w:rPr>
          <w:rFonts w:ascii="AdvOT863180fb" w:hAnsi="AdvOT863180fb" w:cs="AdvOT863180fb"/>
          <w:sz w:val="12"/>
          <w:szCs w:val="12"/>
        </w:rPr>
        <w:t xml:space="preserve"> </w:t>
      </w:r>
      <w:r w:rsidR="00165700" w:rsidRPr="00E17443">
        <w:rPr>
          <w:rFonts w:ascii="Times New Roman" w:eastAsia="Calibri" w:hAnsi="Times New Roman" w:cs="Times New Roman"/>
          <w:sz w:val="24"/>
          <w:szCs w:val="24"/>
        </w:rPr>
        <w:t>Molecular docking studies revealed interaction through hydrophobic residues of the protein, particularly cavity in the subdomain IIA.</w:t>
      </w:r>
      <w:r w:rsidR="00C32354" w:rsidRPr="00E17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5700" w:rsidRPr="00E17443">
        <w:rPr>
          <w:rFonts w:ascii="Times New Roman" w:eastAsia="Calibri" w:hAnsi="Times New Roman" w:cs="Times New Roman"/>
          <w:sz w:val="24"/>
          <w:szCs w:val="24"/>
        </w:rPr>
        <w:t>The complexes presented herein exhibit considerably improved biological activity in comparison to previous report</w:t>
      </w:r>
      <w:r w:rsidRPr="00E17443">
        <w:rPr>
          <w:rFonts w:ascii="Times New Roman" w:eastAsia="Calibri" w:hAnsi="Times New Roman" w:cs="Times New Roman"/>
          <w:sz w:val="24"/>
          <w:szCs w:val="24"/>
        </w:rPr>
        <w:t>s</w:t>
      </w:r>
      <w:r w:rsidR="00165700" w:rsidRPr="00E17443">
        <w:rPr>
          <w:rFonts w:ascii="Times New Roman" w:eastAsia="Calibri" w:hAnsi="Times New Roman" w:cs="Times New Roman"/>
          <w:sz w:val="24"/>
          <w:szCs w:val="24"/>
        </w:rPr>
        <w:t xml:space="preserve"> and the results may be useful in understanding the mechanism of interactions of complexes with serum albumin, and also useful in the development of new anticancer agents.</w:t>
      </w:r>
    </w:p>
    <w:p w:rsidR="00245F30" w:rsidRDefault="00245F30" w:rsidP="00C32354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2354" w:rsidRPr="00E17443" w:rsidRDefault="00E17443" w:rsidP="00EB64FF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17443">
        <w:rPr>
          <w:rFonts w:asciiTheme="majorBidi" w:hAnsiTheme="majorBidi" w:cstheme="majorBidi"/>
          <w:b/>
          <w:bCs/>
          <w:sz w:val="24"/>
          <w:szCs w:val="24"/>
        </w:rPr>
        <w:t xml:space="preserve">Key words: </w:t>
      </w:r>
      <w:proofErr w:type="spellStart"/>
      <w:r w:rsidR="00EB64FF">
        <w:rPr>
          <w:rFonts w:asciiTheme="majorBidi" w:hAnsiTheme="majorBidi" w:cstheme="majorBidi"/>
          <w:sz w:val="24"/>
          <w:szCs w:val="24"/>
        </w:rPr>
        <w:t>O</w:t>
      </w:r>
      <w:r w:rsidRPr="00E17443">
        <w:rPr>
          <w:rFonts w:asciiTheme="majorBidi" w:hAnsiTheme="majorBidi" w:cstheme="majorBidi"/>
          <w:sz w:val="24"/>
          <w:szCs w:val="24"/>
        </w:rPr>
        <w:t>rganometallodrugs</w:t>
      </w:r>
      <w:proofErr w:type="spellEnd"/>
      <w:r w:rsidRPr="00E17443">
        <w:rPr>
          <w:rFonts w:asciiTheme="majorBidi" w:hAnsiTheme="majorBidi" w:cstheme="majorBidi"/>
          <w:sz w:val="24"/>
          <w:szCs w:val="24"/>
        </w:rPr>
        <w:t xml:space="preserve">, </w:t>
      </w:r>
      <w:r w:rsidR="00EB64FF">
        <w:rPr>
          <w:rFonts w:asciiTheme="majorBidi" w:eastAsia="Calibri" w:hAnsiTheme="majorBidi" w:cstheme="majorBidi"/>
          <w:sz w:val="24"/>
          <w:szCs w:val="24"/>
        </w:rPr>
        <w:t>B</w:t>
      </w:r>
      <w:r w:rsidRPr="00E17443">
        <w:rPr>
          <w:rFonts w:asciiTheme="majorBidi" w:eastAsia="Calibri" w:hAnsiTheme="majorBidi" w:cstheme="majorBidi"/>
          <w:sz w:val="24"/>
          <w:szCs w:val="24"/>
        </w:rPr>
        <w:t xml:space="preserve">ovine </w:t>
      </w:r>
      <w:r w:rsidR="00EB64FF">
        <w:rPr>
          <w:rFonts w:asciiTheme="majorBidi" w:eastAsia="Calibri" w:hAnsiTheme="majorBidi" w:cstheme="majorBidi"/>
          <w:sz w:val="24"/>
          <w:szCs w:val="24"/>
        </w:rPr>
        <w:t>S</w:t>
      </w:r>
      <w:r w:rsidRPr="00E17443">
        <w:rPr>
          <w:rFonts w:asciiTheme="majorBidi" w:eastAsia="Calibri" w:hAnsiTheme="majorBidi" w:cstheme="majorBidi"/>
          <w:sz w:val="24"/>
          <w:szCs w:val="24"/>
        </w:rPr>
        <w:t xml:space="preserve">erum </w:t>
      </w:r>
      <w:r w:rsidR="00EB64FF">
        <w:rPr>
          <w:rFonts w:asciiTheme="majorBidi" w:eastAsia="Calibri" w:hAnsiTheme="majorBidi" w:cstheme="majorBidi"/>
          <w:sz w:val="24"/>
          <w:szCs w:val="24"/>
        </w:rPr>
        <w:t>A</w:t>
      </w:r>
      <w:r w:rsidRPr="00E17443">
        <w:rPr>
          <w:rFonts w:asciiTheme="majorBidi" w:eastAsia="Calibri" w:hAnsiTheme="majorBidi" w:cstheme="majorBidi"/>
          <w:sz w:val="24"/>
          <w:szCs w:val="24"/>
        </w:rPr>
        <w:t xml:space="preserve">lbumin, </w:t>
      </w:r>
      <w:r w:rsidR="00EB64FF">
        <w:rPr>
          <w:rFonts w:asciiTheme="majorBidi" w:eastAsia="Calibri" w:hAnsiTheme="majorBidi" w:cstheme="majorBidi"/>
          <w:sz w:val="24"/>
          <w:szCs w:val="24"/>
        </w:rPr>
        <w:t>C</w:t>
      </w:r>
      <w:r w:rsidRPr="00E17443">
        <w:rPr>
          <w:rFonts w:asciiTheme="majorBidi" w:eastAsia="Calibri" w:hAnsiTheme="majorBidi" w:cstheme="majorBidi"/>
          <w:sz w:val="24"/>
          <w:szCs w:val="24"/>
        </w:rPr>
        <w:t xml:space="preserve">ancer, </w:t>
      </w:r>
      <w:r w:rsidR="00EB64FF">
        <w:rPr>
          <w:rFonts w:asciiTheme="majorBidi" w:eastAsia="Calibri" w:hAnsiTheme="majorBidi" w:cstheme="majorBidi"/>
          <w:sz w:val="24"/>
          <w:szCs w:val="24"/>
        </w:rPr>
        <w:t>M</w:t>
      </w:r>
      <w:r w:rsidRPr="00E17443">
        <w:rPr>
          <w:rFonts w:asciiTheme="majorBidi" w:eastAsia="Calibri" w:hAnsiTheme="majorBidi" w:cstheme="majorBidi"/>
          <w:sz w:val="24"/>
          <w:szCs w:val="24"/>
        </w:rPr>
        <w:t xml:space="preserve">olecular </w:t>
      </w:r>
      <w:r w:rsidR="00EB64FF">
        <w:rPr>
          <w:rFonts w:asciiTheme="majorBidi" w:eastAsia="Calibri" w:hAnsiTheme="majorBidi" w:cstheme="majorBidi"/>
          <w:sz w:val="24"/>
          <w:szCs w:val="24"/>
        </w:rPr>
        <w:t>D</w:t>
      </w:r>
      <w:r w:rsidRPr="00E17443">
        <w:rPr>
          <w:rFonts w:asciiTheme="majorBidi" w:eastAsia="Calibri" w:hAnsiTheme="majorBidi" w:cstheme="majorBidi"/>
          <w:sz w:val="24"/>
          <w:szCs w:val="24"/>
        </w:rPr>
        <w:t>ocking</w:t>
      </w:r>
    </w:p>
    <w:sectPr w:rsidR="00C32354" w:rsidRPr="00E17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OT863180f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52"/>
    <w:rsid w:val="00165700"/>
    <w:rsid w:val="00206352"/>
    <w:rsid w:val="00217E42"/>
    <w:rsid w:val="00245F30"/>
    <w:rsid w:val="002706B8"/>
    <w:rsid w:val="002A4F66"/>
    <w:rsid w:val="002A6E9A"/>
    <w:rsid w:val="00453A70"/>
    <w:rsid w:val="007D397D"/>
    <w:rsid w:val="009E7279"/>
    <w:rsid w:val="009F200F"/>
    <w:rsid w:val="00AC6556"/>
    <w:rsid w:val="00C173A7"/>
    <w:rsid w:val="00C32354"/>
    <w:rsid w:val="00D07179"/>
    <w:rsid w:val="00DA23E9"/>
    <w:rsid w:val="00E17443"/>
    <w:rsid w:val="00EB64FF"/>
    <w:rsid w:val="00F62301"/>
    <w:rsid w:val="00FC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8CB7CA-5030-43BB-9E74-DC3BD97E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45F30"/>
    <w:pPr>
      <w:spacing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30"/>
    <w:rPr>
      <w:rFonts w:ascii="Calibri" w:eastAsia="Calibri" w:hAnsi="Calibri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5F3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54D45-D8F8-4668-AC6B-D74C54B8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5</cp:revision>
  <dcterms:created xsi:type="dcterms:W3CDTF">2019-04-20T10:33:00Z</dcterms:created>
  <dcterms:modified xsi:type="dcterms:W3CDTF">2019-04-20T20:50:00Z</dcterms:modified>
</cp:coreProperties>
</file>